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Hans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四川城市职业学院教职工薪酬查询步骤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第一步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用</w:t>
      </w:r>
      <w:r>
        <w:rPr>
          <w:rFonts w:hint="eastAsia" w:ascii="楷体_GB2312" w:hAnsi="楷体_GB2312" w:eastAsia="楷体_GB2312" w:cs="楷体_GB2312"/>
          <w:b/>
          <w:bCs/>
          <w:color w:val="0000FF"/>
          <w:sz w:val="32"/>
          <w:szCs w:val="32"/>
          <w:lang w:val="en-US" w:eastAsia="zh-CN"/>
        </w:rPr>
        <w:t>360浏览器</w:t>
      </w:r>
      <w:r>
        <w:rPr>
          <w:rFonts w:hint="eastAsia" w:ascii="楷体_GB2312" w:hAnsi="楷体_GB2312" w:eastAsia="楷体_GB2312" w:cs="楷体_GB2312"/>
          <w:b/>
          <w:bCs/>
          <w:color w:val="0000FF"/>
          <w:sz w:val="32"/>
          <w:szCs w:val="32"/>
          <w:lang w:val="en-US" w:eastAsia="zh-Hans"/>
        </w:rPr>
        <w:t>或</w:t>
      </w:r>
      <w:r>
        <w:rPr>
          <w:rFonts w:hint="default" w:ascii="楷体_GB2312" w:hAnsi="楷体_GB2312" w:eastAsia="楷体_GB2312" w:cs="楷体_GB2312"/>
          <w:b/>
          <w:bCs/>
          <w:color w:val="0000FF"/>
          <w:sz w:val="32"/>
          <w:szCs w:val="32"/>
          <w:lang w:eastAsia="zh-Hans"/>
        </w:rPr>
        <w:t>IE</w:t>
      </w:r>
      <w:r>
        <w:rPr>
          <w:rFonts w:hint="eastAsia" w:ascii="楷体_GB2312" w:hAnsi="楷体_GB2312" w:eastAsia="楷体_GB2312" w:cs="楷体_GB2312"/>
          <w:b/>
          <w:bCs/>
          <w:color w:val="0000FF"/>
          <w:sz w:val="32"/>
          <w:szCs w:val="32"/>
          <w:lang w:val="en-US" w:eastAsia="zh-Hans"/>
        </w:rPr>
        <w:t>浏览器</w:t>
      </w:r>
      <w:r>
        <w:rPr>
          <w:rFonts w:hint="default" w:ascii="楷体_GB2312" w:hAnsi="楷体_GB2312" w:eastAsia="楷体_GB2312" w:cs="楷体_GB2312"/>
          <w:b/>
          <w:bCs/>
          <w:color w:val="0000FF"/>
          <w:sz w:val="32"/>
          <w:szCs w:val="32"/>
          <w:lang w:eastAsia="zh-Hans"/>
        </w:rPr>
        <w:t>（</w:t>
      </w:r>
      <w:r>
        <w:rPr>
          <w:rFonts w:hint="eastAsia" w:ascii="楷体_GB2312" w:hAnsi="楷体_GB2312" w:eastAsia="楷体_GB2312" w:cs="楷体_GB2312"/>
          <w:b/>
          <w:bCs/>
          <w:color w:val="0000FF"/>
          <w:sz w:val="32"/>
          <w:szCs w:val="32"/>
          <w:lang w:val="en-US" w:eastAsia="zh-Hans"/>
        </w:rPr>
        <w:t>C:\Program Files (x86)\Internet Explorer\iexplore.exe</w:t>
      </w:r>
      <w:r>
        <w:rPr>
          <w:rFonts w:hint="default" w:ascii="楷体_GB2312" w:hAnsi="楷体_GB2312" w:eastAsia="楷体_GB2312" w:cs="楷体_GB2312"/>
          <w:b/>
          <w:bCs/>
          <w:color w:val="0000FF"/>
          <w:sz w:val="32"/>
          <w:szCs w:val="32"/>
          <w:lang w:eastAsia="zh-Hans"/>
        </w:rPr>
        <w:t>）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登录网页</w:t>
      </w:r>
    </w:p>
    <w:p>
      <w:pPr>
        <w:numPr>
          <w:ilvl w:val="0"/>
          <w:numId w:val="0"/>
        </w:num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网址：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fldChar w:fldCharType="begin"/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instrText xml:space="preserve"> HYPERLINK "https://www.scuvc.edu.cn/" </w:instrTex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fldChar w:fldCharType="separate"/>
      </w:r>
      <w:r>
        <w:rPr>
          <w:rStyle w:val="3"/>
          <w:rFonts w:hint="eastAsia" w:ascii="楷体_GB2312" w:hAnsi="楷体_GB2312" w:eastAsia="楷体_GB2312" w:cs="楷体_GB2312"/>
          <w:sz w:val="32"/>
          <w:szCs w:val="32"/>
          <w:lang w:eastAsia="zh-CN"/>
        </w:rPr>
        <w:t>https://www.scuvc.edu.cn/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fldChar w:fldCharType="end"/>
      </w:r>
    </w:p>
    <w:p>
      <w:pPr>
        <w:numPr>
          <w:ilvl w:val="0"/>
          <w:numId w:val="0"/>
        </w:num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第二步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将网页模式选择为</w:t>
      </w:r>
      <w:r>
        <w:rPr>
          <w:rFonts w:hint="eastAsia" w:ascii="楷体_GB2312" w:hAnsi="楷体_GB2312" w:eastAsia="楷体_GB2312" w:cs="楷体_GB2312"/>
          <w:b/>
          <w:bCs/>
          <w:color w:val="0000FF"/>
          <w:sz w:val="32"/>
          <w:szCs w:val="32"/>
          <w:lang w:val="en-US" w:eastAsia="zh-CN"/>
        </w:rPr>
        <w:t>兼容模式</w:t>
      </w:r>
    </w:p>
    <w:p>
      <w:p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如红色方框所示位置进行选择</w:t>
      </w:r>
    </w:p>
    <w:p>
      <w:pPr>
        <w:jc w:val="center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drawing>
          <wp:inline distT="0" distB="0" distL="114300" distR="114300">
            <wp:extent cx="5261610" cy="2296795"/>
            <wp:effectExtent l="0" t="0" r="21590" b="1460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2967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IE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Hans"/>
        </w:rPr>
        <w:t>浏览器</w:t>
      </w:r>
    </w:p>
    <w:p>
      <w:pPr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drawing>
          <wp:inline distT="0" distB="0" distL="114300" distR="114300">
            <wp:extent cx="5237480" cy="3034030"/>
            <wp:effectExtent l="0" t="0" r="20320" b="1397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rcRect b="29089"/>
                    <a:stretch>
                      <a:fillRect/>
                    </a:stretch>
                  </pic:blipFill>
                  <pic:spPr>
                    <a:xfrm>
                      <a:off x="0" y="0"/>
                      <a:ext cx="5237480" cy="3034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default" w:ascii="楷体_GB2312" w:hAnsi="楷体_GB2312" w:eastAsia="楷体_GB2312" w:cs="楷体_GB2312"/>
          <w:sz w:val="32"/>
          <w:szCs w:val="32"/>
        </w:rPr>
        <w:t>360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Hans"/>
        </w:rPr>
        <w:t>浏览器</w:t>
      </w:r>
      <w:r>
        <w:rPr>
          <w:rFonts w:hint="default" w:ascii="楷体_GB2312" w:hAnsi="楷体_GB2312" w:eastAsia="楷体_GB2312" w:cs="楷体_GB2312"/>
          <w:sz w:val="32"/>
          <w:szCs w:val="32"/>
          <w:lang w:eastAsia="zh-Hans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Hans"/>
        </w:rPr>
        <w:t>以下均以</w:t>
      </w:r>
      <w:r>
        <w:rPr>
          <w:rFonts w:hint="default" w:ascii="楷体_GB2312" w:hAnsi="楷体_GB2312" w:eastAsia="楷体_GB2312" w:cs="楷体_GB2312"/>
          <w:sz w:val="32"/>
          <w:szCs w:val="32"/>
          <w:lang w:eastAsia="zh-Hans"/>
        </w:rPr>
        <w:t>360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Hans"/>
        </w:rPr>
        <w:t>浏览器举例说明</w:t>
      </w:r>
      <w:r>
        <w:rPr>
          <w:rFonts w:hint="default" w:ascii="楷体_GB2312" w:hAnsi="楷体_GB2312" w:eastAsia="楷体_GB2312" w:cs="楷体_GB2312"/>
          <w:sz w:val="32"/>
          <w:szCs w:val="32"/>
          <w:lang w:eastAsia="zh-Hans"/>
        </w:rPr>
        <w:t>）</w:t>
      </w:r>
    </w:p>
    <w:p/>
    <w:p>
      <w:pPr>
        <w:rPr>
          <w:rFonts w:hint="eastAsia"/>
          <w:lang w:eastAsia="zh-CN"/>
        </w:rPr>
      </w:pPr>
    </w:p>
    <w:p>
      <w:p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第三步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点击机构设置</w:t>
      </w:r>
    </w:p>
    <w:p>
      <w:p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第四步 点击财务资产部</w:t>
      </w:r>
    </w:p>
    <w:p>
      <w:pPr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drawing>
          <wp:inline distT="0" distB="0" distL="114300" distR="114300">
            <wp:extent cx="5219700" cy="2969895"/>
            <wp:effectExtent l="0" t="0" r="0" b="190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969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第五步 点击工资查询窗口</w:t>
      </w:r>
    </w:p>
    <w:p>
      <w:pPr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drawing>
          <wp:inline distT="0" distB="0" distL="114300" distR="114300">
            <wp:extent cx="5258435" cy="3488055"/>
            <wp:effectExtent l="0" t="0" r="18415" b="17145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3488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第六步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教师登录界面输入教职工工号、原查询密码、验证码后，点击登录，弹出重新设定登录密码的界面，点击确定。</w:t>
      </w:r>
    </w:p>
    <w:p>
      <w:pPr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drawing>
          <wp:inline distT="0" distB="0" distL="114300" distR="114300">
            <wp:extent cx="5248910" cy="3608705"/>
            <wp:effectExtent l="0" t="0" r="8890" b="10795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6087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第七步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在如图所示的红框内设定新密码</w:t>
      </w:r>
    </w:p>
    <w:p>
      <w:pPr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drawing>
          <wp:inline distT="0" distB="0" distL="114300" distR="114300">
            <wp:extent cx="4993640" cy="3371850"/>
            <wp:effectExtent l="0" t="0" r="16510" b="0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9364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第八步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 xml:space="preserve">  进入查询界面进行查询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drawing>
          <wp:inline distT="0" distB="0" distL="114300" distR="114300">
            <wp:extent cx="4971415" cy="3039745"/>
            <wp:effectExtent l="0" t="0" r="635" b="8255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1415" cy="3039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方正小标宋_GBK">
    <w:altName w:val="苹方-简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汉仪楷体简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B01548"/>
    <w:rsid w:val="73753EF8"/>
    <w:rsid w:val="BD77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Office_4.1.2.6545_F1E327BC-269C-435d-A152-05C5408002CA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2022-06-21T11:01:00Z</dcterms:created>
  <dc:creator>Administrator</dc:creator>
  <cp:lastModifiedBy>billliu</cp:lastModifiedBy>
  <dcterms:modified xsi:type="dcterms:W3CDTF">2022-06-23T11:18:03Z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2052-4.1.2.6545</vt:lpwstr>
  </property>
</Properties>
</file>